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AF42" w14:textId="77777777" w:rsidR="00B516C9" w:rsidRDefault="00B516C9" w:rsidP="00E732BF">
      <w:pPr>
        <w:tabs>
          <w:tab w:val="left" w:pos="284"/>
          <w:tab w:val="decimal" w:pos="4536"/>
          <w:tab w:val="decimal" w:pos="7655"/>
        </w:tabs>
        <w:jc w:val="center"/>
        <w:rPr>
          <w:rFonts w:ascii="Arial" w:hAnsi="Arial"/>
          <w:b/>
          <w:sz w:val="24"/>
        </w:rPr>
      </w:pPr>
      <w:r w:rsidRPr="00E732BF">
        <w:rPr>
          <w:rFonts w:ascii="Arial" w:hAnsi="Arial"/>
          <w:b/>
          <w:sz w:val="24"/>
        </w:rPr>
        <w:t>Hinweis nach § 4 Abs. 4 der Gemeindeordnung für den Freistaat Sachsen</w:t>
      </w:r>
      <w:r>
        <w:rPr>
          <w:rFonts w:ascii="Arial" w:hAnsi="Arial"/>
          <w:sz w:val="24"/>
        </w:rPr>
        <w:t xml:space="preserve"> </w:t>
      </w:r>
      <w:r w:rsidRPr="00E732BF">
        <w:rPr>
          <w:rFonts w:ascii="Arial" w:hAnsi="Arial"/>
          <w:b/>
          <w:sz w:val="24"/>
        </w:rPr>
        <w:t>(</w:t>
      </w:r>
      <w:proofErr w:type="spellStart"/>
      <w:r w:rsidRPr="00E732BF">
        <w:rPr>
          <w:rFonts w:ascii="Arial" w:hAnsi="Arial"/>
          <w:b/>
          <w:sz w:val="24"/>
        </w:rPr>
        <w:t>SächsGemO</w:t>
      </w:r>
      <w:proofErr w:type="spellEnd"/>
      <w:r w:rsidRPr="00E732BF">
        <w:rPr>
          <w:rFonts w:ascii="Arial" w:hAnsi="Arial"/>
          <w:b/>
          <w:sz w:val="24"/>
        </w:rPr>
        <w:t>)</w:t>
      </w:r>
    </w:p>
    <w:p w14:paraId="301C3E16" w14:textId="77777777" w:rsidR="00C86617" w:rsidRPr="00E732BF" w:rsidRDefault="00C86617" w:rsidP="00E732BF">
      <w:pPr>
        <w:tabs>
          <w:tab w:val="left" w:pos="284"/>
          <w:tab w:val="decimal" w:pos="4536"/>
          <w:tab w:val="decimal" w:pos="7655"/>
        </w:tabs>
        <w:jc w:val="center"/>
        <w:rPr>
          <w:rFonts w:ascii="Arial" w:hAnsi="Arial"/>
          <w:b/>
          <w:sz w:val="24"/>
        </w:rPr>
      </w:pPr>
    </w:p>
    <w:p w14:paraId="468693EE" w14:textId="77777777" w:rsidR="00B516C9" w:rsidRDefault="003B455C">
      <w:pPr>
        <w:tabs>
          <w:tab w:val="left" w:pos="284"/>
          <w:tab w:val="decimal" w:pos="4536"/>
          <w:tab w:val="decimal" w:pos="765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Nach § 4 Abs. 4 Satz 1 </w:t>
      </w:r>
      <w:proofErr w:type="spellStart"/>
      <w:r>
        <w:rPr>
          <w:rFonts w:ascii="Arial" w:hAnsi="Arial"/>
          <w:sz w:val="24"/>
        </w:rPr>
        <w:t>SächsGemO</w:t>
      </w:r>
      <w:proofErr w:type="spellEnd"/>
      <w:r>
        <w:rPr>
          <w:rFonts w:ascii="Arial" w:hAnsi="Arial"/>
          <w:sz w:val="24"/>
        </w:rPr>
        <w:t xml:space="preserve"> gelten Satzungen, die unter Verletzung von Verfahrens- oder Formvorschriften zustande gekommen sind, ein Jahr nach ihrer Bekanntmachung als von Anfang an gültig zustande</w:t>
      </w:r>
      <w:r w:rsidR="00521E9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gekommen.</w:t>
      </w:r>
    </w:p>
    <w:p w14:paraId="33E5E54F" w14:textId="77777777" w:rsidR="003B455C" w:rsidRDefault="0014039A">
      <w:pPr>
        <w:tabs>
          <w:tab w:val="left" w:pos="284"/>
          <w:tab w:val="decimal" w:pos="4536"/>
          <w:tab w:val="decimal" w:pos="765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Dies gilt nicht, wenn</w:t>
      </w:r>
    </w:p>
    <w:p w14:paraId="159AC4FE" w14:textId="77777777" w:rsidR="0014039A" w:rsidRDefault="0014039A">
      <w:pPr>
        <w:tabs>
          <w:tab w:val="left" w:pos="284"/>
          <w:tab w:val="decimal" w:pos="4536"/>
          <w:tab w:val="decimal" w:pos="765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ab/>
        <w:t>die Ausfertigung der Satzung nicht oder fehlerhaft erfolgt ist</w:t>
      </w:r>
      <w:r w:rsidR="00E15B14">
        <w:rPr>
          <w:rFonts w:ascii="Arial" w:hAnsi="Arial"/>
          <w:sz w:val="24"/>
        </w:rPr>
        <w:t>,</w:t>
      </w:r>
    </w:p>
    <w:p w14:paraId="6D840E13" w14:textId="77777777" w:rsidR="0014039A" w:rsidRDefault="0014039A" w:rsidP="0014039A">
      <w:pPr>
        <w:tabs>
          <w:tab w:val="left" w:pos="284"/>
          <w:tab w:val="decimal" w:pos="4536"/>
          <w:tab w:val="decimal" w:pos="7655"/>
        </w:tabs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ab/>
        <w:t>Vorschriften über die Öffentlichkeit der Sitzungen, die Genehmigung oder die Bekanntmachung der Satzung verletzt worden sind,</w:t>
      </w:r>
    </w:p>
    <w:p w14:paraId="7E1CEBE1" w14:textId="77777777" w:rsidR="0014039A" w:rsidRDefault="00E15B14" w:rsidP="00A457CF">
      <w:pPr>
        <w:tabs>
          <w:tab w:val="left" w:pos="284"/>
          <w:tab w:val="decimal" w:pos="4536"/>
          <w:tab w:val="decimal" w:pos="7655"/>
        </w:tabs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ab/>
        <w:t>der Bürgermeister</w:t>
      </w:r>
      <w:r w:rsidR="00A457CF">
        <w:rPr>
          <w:rFonts w:ascii="Arial" w:hAnsi="Arial"/>
          <w:sz w:val="24"/>
        </w:rPr>
        <w:t xml:space="preserve"> dem Beschluss nach § 52 Abs. 2 </w:t>
      </w:r>
      <w:proofErr w:type="spellStart"/>
      <w:r w:rsidR="00A457CF">
        <w:rPr>
          <w:rFonts w:ascii="Arial" w:hAnsi="Arial"/>
          <w:sz w:val="24"/>
        </w:rPr>
        <w:t>SächsGemO</w:t>
      </w:r>
      <w:proofErr w:type="spellEnd"/>
      <w:r w:rsidR="00A457CF">
        <w:rPr>
          <w:rFonts w:ascii="Arial" w:hAnsi="Arial"/>
          <w:sz w:val="24"/>
        </w:rPr>
        <w:t xml:space="preserve"> wegen Gesetzwidrigkeit widersprochen hat,</w:t>
      </w:r>
    </w:p>
    <w:p w14:paraId="3692160B" w14:textId="77777777" w:rsidR="00A457CF" w:rsidRDefault="00A457CF" w:rsidP="00A457CF">
      <w:pPr>
        <w:tabs>
          <w:tab w:val="left" w:pos="284"/>
          <w:tab w:val="decimal" w:pos="4536"/>
          <w:tab w:val="decimal" w:pos="7655"/>
        </w:tabs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  <w:t>vor Ablauf der in Satz 1 genannten Frist</w:t>
      </w:r>
    </w:p>
    <w:p w14:paraId="1D646EDA" w14:textId="77777777" w:rsidR="00A457CF" w:rsidRDefault="00A457CF" w:rsidP="00A457CF">
      <w:pPr>
        <w:tabs>
          <w:tab w:val="left" w:pos="284"/>
          <w:tab w:val="decimal" w:pos="4536"/>
          <w:tab w:val="decimal" w:pos="7655"/>
        </w:tabs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a)</w:t>
      </w:r>
      <w:r>
        <w:rPr>
          <w:rFonts w:ascii="Arial" w:hAnsi="Arial"/>
          <w:sz w:val="24"/>
        </w:rPr>
        <w:tab/>
        <w:t>die Rechtsaufsichtsbehörde den Beschluss beanstandet hat oder</w:t>
      </w:r>
    </w:p>
    <w:p w14:paraId="30FD6648" w14:textId="77777777" w:rsidR="00A457CF" w:rsidRDefault="00A457CF" w:rsidP="00A457CF">
      <w:pPr>
        <w:tabs>
          <w:tab w:val="left" w:pos="284"/>
          <w:tab w:val="decimal" w:pos="4536"/>
          <w:tab w:val="decimal" w:pos="7655"/>
        </w:tabs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b)</w:t>
      </w:r>
      <w:r>
        <w:rPr>
          <w:rFonts w:ascii="Arial" w:hAnsi="Arial"/>
          <w:sz w:val="24"/>
        </w:rPr>
        <w:tab/>
        <w:t>die Verletzung der Verfahrens- und Formvorschriften gegenüber der Stadt unter Bezeichnung des Sachverhaltes, der die Verletzung begründen soll, schriftlich geltend gemacht worden ist.</w:t>
      </w:r>
    </w:p>
    <w:p w14:paraId="04499DC5" w14:textId="77777777" w:rsidR="00A457CF" w:rsidRDefault="00A457CF" w:rsidP="00A457CF">
      <w:pPr>
        <w:tabs>
          <w:tab w:val="left" w:pos="284"/>
          <w:tab w:val="decimal" w:pos="4536"/>
          <w:tab w:val="decimal" w:pos="7655"/>
        </w:tabs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Ist eine Verletzung nach</w:t>
      </w:r>
      <w:r w:rsidR="00C86617">
        <w:rPr>
          <w:rFonts w:ascii="Arial" w:hAnsi="Arial"/>
          <w:sz w:val="24"/>
        </w:rPr>
        <w:t xml:space="preserve"> Satz 2 Nr.</w:t>
      </w:r>
      <w:r>
        <w:rPr>
          <w:rFonts w:ascii="Arial" w:hAnsi="Arial"/>
          <w:sz w:val="24"/>
        </w:rPr>
        <w:t xml:space="preserve"> 3 oder 4 geltend gemacht worden, so kann auch </w:t>
      </w:r>
    </w:p>
    <w:p w14:paraId="1736383B" w14:textId="77777777" w:rsidR="00A457CF" w:rsidRDefault="00901D01" w:rsidP="00167931">
      <w:pPr>
        <w:tabs>
          <w:tab w:val="left" w:pos="0"/>
          <w:tab w:val="decimal" w:pos="4536"/>
          <w:tab w:val="decimal" w:pos="7655"/>
        </w:tabs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A457CF">
        <w:rPr>
          <w:rFonts w:ascii="Arial" w:hAnsi="Arial"/>
          <w:sz w:val="24"/>
        </w:rPr>
        <w:t xml:space="preserve">ach Ablauf der in Satz 1 </w:t>
      </w:r>
      <w:r w:rsidR="00167931">
        <w:rPr>
          <w:rFonts w:ascii="Arial" w:hAnsi="Arial"/>
          <w:sz w:val="24"/>
        </w:rPr>
        <w:t>genannten Frist jedermann diese Verletzung geltend machen.</w:t>
      </w:r>
      <w:r w:rsidR="00FD6CAE">
        <w:rPr>
          <w:rFonts w:ascii="Arial" w:hAnsi="Arial"/>
          <w:sz w:val="24"/>
        </w:rPr>
        <w:t xml:space="preserve"> Sätze 1 bis 3 sind nur anzuwenden, wenn bei der Bekanntmachung der Satzung auf die Voraussetzungen für die Geltendmachung der Verletzung von Verfahrens- oder Formvorschriften und die Rechtsfolgen hingewiesen worden ist.</w:t>
      </w:r>
    </w:p>
    <w:sectPr w:rsidR="00A45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F072" w14:textId="77777777" w:rsidR="00F850D0" w:rsidRDefault="00F850D0" w:rsidP="006925D2">
      <w:r>
        <w:separator/>
      </w:r>
    </w:p>
  </w:endnote>
  <w:endnote w:type="continuationSeparator" w:id="0">
    <w:p w14:paraId="5F3F8061" w14:textId="77777777" w:rsidR="00F850D0" w:rsidRDefault="00F850D0" w:rsidP="0069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2C1E" w14:textId="77777777" w:rsidR="006925D2" w:rsidRDefault="006925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1F98" w14:textId="77777777" w:rsidR="006925D2" w:rsidRDefault="006925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8781" w14:textId="77777777" w:rsidR="006925D2" w:rsidRDefault="006925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E29D" w14:textId="77777777" w:rsidR="00F850D0" w:rsidRDefault="00F850D0" w:rsidP="006925D2">
      <w:r>
        <w:separator/>
      </w:r>
    </w:p>
  </w:footnote>
  <w:footnote w:type="continuationSeparator" w:id="0">
    <w:p w14:paraId="70D91340" w14:textId="77777777" w:rsidR="00F850D0" w:rsidRDefault="00F850D0" w:rsidP="0069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9C5" w14:textId="77777777" w:rsidR="006925D2" w:rsidRDefault="006925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2361" w14:textId="77777777" w:rsidR="006925D2" w:rsidRDefault="006925D2">
    <w:pPr>
      <w:pStyle w:val="Kopfzeil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3B2B" w14:textId="77777777" w:rsidR="006925D2" w:rsidRDefault="006925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0138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5E0215"/>
    <w:multiLevelType w:val="singleLevel"/>
    <w:tmpl w:val="296427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791C091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830"/>
    <w:rsid w:val="00053E6A"/>
    <w:rsid w:val="00074A61"/>
    <w:rsid w:val="00075BF5"/>
    <w:rsid w:val="000778DE"/>
    <w:rsid w:val="000A2E53"/>
    <w:rsid w:val="000C2936"/>
    <w:rsid w:val="000D7717"/>
    <w:rsid w:val="000F31F6"/>
    <w:rsid w:val="001375E0"/>
    <w:rsid w:val="0014039A"/>
    <w:rsid w:val="00163D02"/>
    <w:rsid w:val="00167931"/>
    <w:rsid w:val="001E19E0"/>
    <w:rsid w:val="001F4C7A"/>
    <w:rsid w:val="0024100E"/>
    <w:rsid w:val="00244C8F"/>
    <w:rsid w:val="00246B28"/>
    <w:rsid w:val="00266737"/>
    <w:rsid w:val="00277D82"/>
    <w:rsid w:val="00285800"/>
    <w:rsid w:val="00295FB8"/>
    <w:rsid w:val="002D3086"/>
    <w:rsid w:val="003106C6"/>
    <w:rsid w:val="0038651D"/>
    <w:rsid w:val="003B0717"/>
    <w:rsid w:val="003B4327"/>
    <w:rsid w:val="003B455C"/>
    <w:rsid w:val="0040147F"/>
    <w:rsid w:val="00481E92"/>
    <w:rsid w:val="004A39BB"/>
    <w:rsid w:val="004C27C9"/>
    <w:rsid w:val="005011E4"/>
    <w:rsid w:val="00511080"/>
    <w:rsid w:val="005119A1"/>
    <w:rsid w:val="00521E92"/>
    <w:rsid w:val="00600C42"/>
    <w:rsid w:val="00605E2A"/>
    <w:rsid w:val="00611E73"/>
    <w:rsid w:val="00643490"/>
    <w:rsid w:val="00644F59"/>
    <w:rsid w:val="0064509F"/>
    <w:rsid w:val="006925D2"/>
    <w:rsid w:val="006B47A4"/>
    <w:rsid w:val="006F26CE"/>
    <w:rsid w:val="00741237"/>
    <w:rsid w:val="00745528"/>
    <w:rsid w:val="007B0A9E"/>
    <w:rsid w:val="007D7B9F"/>
    <w:rsid w:val="007E1899"/>
    <w:rsid w:val="00800D16"/>
    <w:rsid w:val="0080223E"/>
    <w:rsid w:val="0080755E"/>
    <w:rsid w:val="00817ACB"/>
    <w:rsid w:val="00852FD6"/>
    <w:rsid w:val="008719CD"/>
    <w:rsid w:val="00875A9A"/>
    <w:rsid w:val="008D44F4"/>
    <w:rsid w:val="00901D01"/>
    <w:rsid w:val="0091311F"/>
    <w:rsid w:val="009225A6"/>
    <w:rsid w:val="00956666"/>
    <w:rsid w:val="009B1CE6"/>
    <w:rsid w:val="009C2BB8"/>
    <w:rsid w:val="00A457CF"/>
    <w:rsid w:val="00A5631A"/>
    <w:rsid w:val="00A84FDE"/>
    <w:rsid w:val="00AC1B26"/>
    <w:rsid w:val="00AF5D93"/>
    <w:rsid w:val="00B2735F"/>
    <w:rsid w:val="00B33904"/>
    <w:rsid w:val="00B516C9"/>
    <w:rsid w:val="00B8417A"/>
    <w:rsid w:val="00B907CC"/>
    <w:rsid w:val="00BB313C"/>
    <w:rsid w:val="00BD10CA"/>
    <w:rsid w:val="00C457F1"/>
    <w:rsid w:val="00C5202E"/>
    <w:rsid w:val="00C81CAB"/>
    <w:rsid w:val="00C86617"/>
    <w:rsid w:val="00CB40DF"/>
    <w:rsid w:val="00CC0B41"/>
    <w:rsid w:val="00D2039D"/>
    <w:rsid w:val="00D229F2"/>
    <w:rsid w:val="00D36E44"/>
    <w:rsid w:val="00D45D20"/>
    <w:rsid w:val="00D57553"/>
    <w:rsid w:val="00D820CC"/>
    <w:rsid w:val="00DF6735"/>
    <w:rsid w:val="00E15B14"/>
    <w:rsid w:val="00E25A69"/>
    <w:rsid w:val="00E3580D"/>
    <w:rsid w:val="00E409A7"/>
    <w:rsid w:val="00E53DF7"/>
    <w:rsid w:val="00E732BF"/>
    <w:rsid w:val="00EC2FEA"/>
    <w:rsid w:val="00EF1830"/>
    <w:rsid w:val="00F12DB2"/>
    <w:rsid w:val="00F44635"/>
    <w:rsid w:val="00F738F1"/>
    <w:rsid w:val="00F850D0"/>
    <w:rsid w:val="00F87ED5"/>
    <w:rsid w:val="00F90696"/>
    <w:rsid w:val="00FA5AAF"/>
    <w:rsid w:val="00FB4B85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086B8"/>
  <w15:docId w15:val="{AFA9DECD-E883-4598-9FE4-C9EA92E8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  <w:tab w:val="left" w:pos="426"/>
        <w:tab w:val="left" w:pos="709"/>
        <w:tab w:val="decimal" w:pos="4536"/>
        <w:tab w:val="decimal" w:pos="7655"/>
      </w:tabs>
      <w:outlineLvl w:val="1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5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925D2"/>
  </w:style>
  <w:style w:type="paragraph" w:styleId="Fuzeile">
    <w:name w:val="footer"/>
    <w:basedOn w:val="Standard"/>
    <w:link w:val="FuzeileZchn"/>
    <w:rsid w:val="006925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9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Haushaltssatzung</vt:lpstr>
    </vt:vector>
  </TitlesOfParts>
  <Company>Stadt Jöhstadt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Haushaltssatzung</dc:title>
  <dc:creator>ziehe</dc:creator>
  <cp:lastModifiedBy>Katrin Ziehe</cp:lastModifiedBy>
  <cp:revision>2</cp:revision>
  <cp:lastPrinted>2004-11-24T05:58:00Z</cp:lastPrinted>
  <dcterms:created xsi:type="dcterms:W3CDTF">2024-03-25T12:15:00Z</dcterms:created>
  <dcterms:modified xsi:type="dcterms:W3CDTF">2024-03-25T12:15:00Z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adOnly">
    <vt:lpwstr>False</vt:lpwstr>
  </property>
  <property fmtid="{D5CDD505-2E9C-101B-9397-08002B2CF9AE}" pid="3" name="DocTitle">
    <vt:lpwstr>111.3 Finanzverwaltung\111.30 Haushaltswirtschaft, Finanzsteuerung\111.30.1 Haushaltswirtschaft, Finanzsteuerung\Haushaltsjahr 2023\Planung\Sonstiges Plan\Beschluss HH-Satzung Zusatzblatt</vt:lpwstr>
  </property>
  <property fmtid="{D5CDD505-2E9C-101B-9397-08002B2CF9AE}" pid="4" name="DocFullpathString">
    <vt:lpwstr>111.3 Finanzverwaltung|111.30 Haushaltswirtschaft, Finanzsteuerung|111.30.1 Haushaltswirtschaft, Finanzsteuerung|Haushaltsjahr 2023|Planung|Sonstiges Plan|Beschluss HH-Satzung Zusatzblatt</vt:lpwstr>
  </property>
  <property fmtid="{D5CDD505-2E9C-101B-9397-08002B2CF9AE}" pid="5" name="DocName">
    <vt:lpwstr>Beschluss HH-Satzung Zusatzblatt</vt:lpwstr>
  </property>
  <property fmtid="{D5CDD505-2E9C-101B-9397-08002B2CF9AE}" pid="6" name="DocTempId">
    <vt:lpwstr>{09a7ce26-f4d7-4479-b55a-9fd06cc0af38}</vt:lpwstr>
  </property>
</Properties>
</file>